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3DFC" w:rsidRPr="00925752" w:rsidRDefault="00263DFC" w:rsidP="00263DFC">
      <w:pPr>
        <w:spacing w:after="0" w:line="240" w:lineRule="auto"/>
        <w:rPr>
          <w:rFonts w:ascii="Times New Roman" w:hAnsi="Times New Roman" w:cs="Times New Roman"/>
          <w:b/>
          <w:sz w:val="28"/>
          <w:szCs w:val="28"/>
        </w:rPr>
      </w:pPr>
      <w:r w:rsidRPr="00925752">
        <w:rPr>
          <w:rFonts w:ascii="Times New Roman" w:hAnsi="Times New Roman" w:cs="Times New Roman"/>
          <w:b/>
          <w:sz w:val="28"/>
          <w:szCs w:val="28"/>
        </w:rPr>
        <w:t xml:space="preserve">Unit 6: World </w:t>
      </w:r>
      <w:r>
        <w:rPr>
          <w:rFonts w:ascii="Times New Roman" w:hAnsi="Times New Roman" w:cs="Times New Roman"/>
          <w:b/>
          <w:sz w:val="28"/>
          <w:szCs w:val="28"/>
        </w:rPr>
        <w:t>War II and the Cold War to 1960--</w:t>
      </w:r>
      <w:bookmarkStart w:id="0" w:name="_GoBack"/>
      <w:bookmarkEnd w:id="0"/>
      <w:r w:rsidRPr="00925752">
        <w:rPr>
          <w:rFonts w:ascii="Times New Roman" w:hAnsi="Times New Roman" w:cs="Times New Roman"/>
          <w:b/>
          <w:sz w:val="28"/>
          <w:szCs w:val="28"/>
        </w:rPr>
        <w:t xml:space="preserve"> Affluence and Anxiety</w:t>
      </w:r>
    </w:p>
    <w:p w:rsidR="00263DFC" w:rsidRPr="00925752" w:rsidRDefault="00263DFC" w:rsidP="00263DFC">
      <w:pPr>
        <w:spacing w:after="0" w:line="240" w:lineRule="auto"/>
        <w:rPr>
          <w:rFonts w:ascii="Times New Roman" w:hAnsi="Times New Roman" w:cs="Times New Roman"/>
          <w:b/>
          <w:sz w:val="28"/>
          <w:szCs w:val="28"/>
        </w:rPr>
      </w:pPr>
    </w:p>
    <w:p w:rsidR="00263DFC" w:rsidRDefault="00263DFC" w:rsidP="00263DFC">
      <w:pPr>
        <w:spacing w:after="0" w:line="240" w:lineRule="auto"/>
        <w:rPr>
          <w:rFonts w:ascii="Times New Roman" w:hAnsi="Times New Roman" w:cs="Times New Roman"/>
          <w:sz w:val="28"/>
          <w:szCs w:val="28"/>
        </w:rPr>
      </w:pPr>
      <w:r>
        <w:rPr>
          <w:rFonts w:ascii="Times New Roman" w:hAnsi="Times New Roman" w:cs="Times New Roman"/>
          <w:sz w:val="28"/>
          <w:szCs w:val="28"/>
        </w:rPr>
        <w:tab/>
        <w:t xml:space="preserve">World War II transformed America and Americans in many ways. There were sizable demographic shifts going on in the country. One was the continued large movement of African-Americans out of the cotton belt of the Deep South and into the Urban North and West, a process that had begun after the First World War. During the 1940s alone over 2 million African-Americans left their rural roots for opportunities in urban America, which in turn led to an increasing presence of African Americans in the manufacturing industry and the union movement. Upward mobility for at least some African-Americans seemed possible, even with all of the continued discrimination faced by this group, both in the South and the North. In the cities, African-Americans were in a better position to organize, to take part in the new and reinvigorated civil rights movement of the postwar era. </w:t>
      </w:r>
    </w:p>
    <w:p w:rsidR="00263DFC" w:rsidRDefault="00263DFC" w:rsidP="00263DFC">
      <w:pPr>
        <w:spacing w:after="0" w:line="240" w:lineRule="auto"/>
        <w:rPr>
          <w:rFonts w:ascii="Times New Roman" w:hAnsi="Times New Roman" w:cs="Times New Roman"/>
          <w:sz w:val="28"/>
          <w:szCs w:val="28"/>
        </w:rPr>
      </w:pPr>
      <w:r>
        <w:rPr>
          <w:rFonts w:ascii="Times New Roman" w:hAnsi="Times New Roman" w:cs="Times New Roman"/>
          <w:sz w:val="28"/>
          <w:szCs w:val="28"/>
        </w:rPr>
        <w:tab/>
      </w:r>
    </w:p>
    <w:p w:rsidR="00263DFC" w:rsidRDefault="00263DFC" w:rsidP="00263DFC">
      <w:pPr>
        <w:spacing w:after="0" w:line="240" w:lineRule="auto"/>
        <w:rPr>
          <w:rFonts w:ascii="Times New Roman" w:hAnsi="Times New Roman" w:cs="Times New Roman"/>
          <w:sz w:val="28"/>
          <w:szCs w:val="28"/>
        </w:rPr>
      </w:pPr>
      <w:r>
        <w:rPr>
          <w:rFonts w:ascii="Times New Roman" w:hAnsi="Times New Roman" w:cs="Times New Roman"/>
          <w:sz w:val="28"/>
          <w:szCs w:val="28"/>
        </w:rPr>
        <w:tab/>
        <w:t>World War II also challenged gender norms. More than three million women entered the workforce during the war and even though this work ended when the men returned home, women who had begun working during the war often tried to find other jobs once the war ended. Transformations in women’s lives in a more affluent society likewise encouraged some to question conventional gender ideals, thus laying the foundation for the modern feminist movement. Other groups such as Asian-Americans, Latinos, and even some Native Americans may have also benefitted both from opportunities in the military during the war, in addition to possibly finding new jobs in growing urban centers when the war began. Of course, the treatment of Japanese-Americans during the war belies any rosy assessment of American race relations in the mid-20</w:t>
      </w:r>
      <w:r w:rsidRPr="00AF42B7">
        <w:rPr>
          <w:rFonts w:ascii="Times New Roman" w:hAnsi="Times New Roman" w:cs="Times New Roman"/>
          <w:sz w:val="28"/>
          <w:szCs w:val="28"/>
          <w:vertAlign w:val="superscript"/>
        </w:rPr>
        <w:t>th</w:t>
      </w:r>
      <w:r>
        <w:rPr>
          <w:rFonts w:ascii="Times New Roman" w:hAnsi="Times New Roman" w:cs="Times New Roman"/>
          <w:sz w:val="28"/>
          <w:szCs w:val="28"/>
        </w:rPr>
        <w:t xml:space="preserve"> century, but in the period after 1945 more and more formally marginalized groups slowly and fitfully took part in a growing American economy. </w:t>
      </w:r>
    </w:p>
    <w:p w:rsidR="00263DFC" w:rsidRDefault="00263DFC" w:rsidP="00263DFC">
      <w:pPr>
        <w:spacing w:after="0" w:line="240" w:lineRule="auto"/>
        <w:rPr>
          <w:rFonts w:ascii="Times New Roman" w:hAnsi="Times New Roman" w:cs="Times New Roman"/>
          <w:sz w:val="28"/>
          <w:szCs w:val="28"/>
        </w:rPr>
      </w:pPr>
    </w:p>
    <w:p w:rsidR="00263DFC" w:rsidRDefault="00263DFC" w:rsidP="00263DFC">
      <w:pPr>
        <w:spacing w:after="0" w:line="240" w:lineRule="auto"/>
        <w:rPr>
          <w:rFonts w:ascii="Times New Roman" w:hAnsi="Times New Roman" w:cs="Times New Roman"/>
          <w:sz w:val="28"/>
          <w:szCs w:val="28"/>
        </w:rPr>
      </w:pPr>
      <w:r>
        <w:rPr>
          <w:rFonts w:ascii="Times New Roman" w:hAnsi="Times New Roman" w:cs="Times New Roman"/>
          <w:sz w:val="28"/>
          <w:szCs w:val="28"/>
        </w:rPr>
        <w:tab/>
        <w:t xml:space="preserve">A new African-American civil rights movement emerged in the 1940s and 1950s, and by 1954 a major victory for this movement came with the </w:t>
      </w:r>
      <w:r w:rsidRPr="00AB5968">
        <w:rPr>
          <w:rFonts w:ascii="Times New Roman" w:hAnsi="Times New Roman" w:cs="Times New Roman"/>
          <w:i/>
          <w:sz w:val="28"/>
          <w:szCs w:val="28"/>
        </w:rPr>
        <w:t xml:space="preserve">Brown v. Board of Education </w:t>
      </w:r>
      <w:r>
        <w:rPr>
          <w:rFonts w:ascii="Times New Roman" w:hAnsi="Times New Roman" w:cs="Times New Roman"/>
          <w:sz w:val="28"/>
          <w:szCs w:val="28"/>
        </w:rPr>
        <w:t xml:space="preserve">decision. In this case, the Supreme Court dealt a serious blow to the legal fiction that segregated schools were “separate but equal.”  The next year, in 1955, Rosa Parks, </w:t>
      </w:r>
      <w:proofErr w:type="gramStart"/>
      <w:r>
        <w:rPr>
          <w:rFonts w:ascii="Times New Roman" w:hAnsi="Times New Roman" w:cs="Times New Roman"/>
          <w:sz w:val="28"/>
          <w:szCs w:val="28"/>
        </w:rPr>
        <w:t>an</w:t>
      </w:r>
      <w:proofErr w:type="gramEnd"/>
      <w:r>
        <w:rPr>
          <w:rFonts w:ascii="Times New Roman" w:hAnsi="Times New Roman" w:cs="Times New Roman"/>
          <w:sz w:val="28"/>
          <w:szCs w:val="28"/>
        </w:rPr>
        <w:t xml:space="preserve"> NAACP member, challenged bus segregation in Montgomery, Alabama, touching off massive peaceful resistance to the practice that forced local leaders to end segregation in public transportation. In these efforts, civil rights leaders also had the backing of the Supreme Court, which extended the premise of the Brown decision to include bans on discrimination in other public spaces. One of the leaders of the Montgomery bus boycott, was a young preacher named Martin Luther King, Jr. who soon gained more and more support throughout the country in his efforts to register African-American voters in </w:t>
      </w:r>
      <w:r>
        <w:rPr>
          <w:rFonts w:ascii="Times New Roman" w:hAnsi="Times New Roman" w:cs="Times New Roman"/>
          <w:sz w:val="28"/>
          <w:szCs w:val="28"/>
        </w:rPr>
        <w:lastRenderedPageBreak/>
        <w:t xml:space="preserve">the </w:t>
      </w:r>
      <w:proofErr w:type="gramStart"/>
      <w:r>
        <w:rPr>
          <w:rFonts w:ascii="Times New Roman" w:hAnsi="Times New Roman" w:cs="Times New Roman"/>
          <w:sz w:val="28"/>
          <w:szCs w:val="28"/>
        </w:rPr>
        <w:t>deep</w:t>
      </w:r>
      <w:proofErr w:type="gramEnd"/>
      <w:r>
        <w:rPr>
          <w:rFonts w:ascii="Times New Roman" w:hAnsi="Times New Roman" w:cs="Times New Roman"/>
          <w:sz w:val="28"/>
          <w:szCs w:val="28"/>
        </w:rPr>
        <w:t xml:space="preserve"> South under the auspices of the Southern Christian Leadership Conference. King’s movement, dedicated to nonviolent resistance, would soon gain international recognition, as well. </w:t>
      </w:r>
    </w:p>
    <w:p w:rsidR="00263DFC" w:rsidRDefault="00263DFC" w:rsidP="00263DFC">
      <w:pPr>
        <w:spacing w:after="0" w:line="240" w:lineRule="auto"/>
        <w:rPr>
          <w:rFonts w:ascii="Times New Roman" w:hAnsi="Times New Roman" w:cs="Times New Roman"/>
          <w:sz w:val="28"/>
          <w:szCs w:val="28"/>
        </w:rPr>
      </w:pPr>
    </w:p>
    <w:p w:rsidR="00263DFC" w:rsidRDefault="00263DFC" w:rsidP="00263DFC">
      <w:pPr>
        <w:spacing w:after="0" w:line="240" w:lineRule="auto"/>
        <w:rPr>
          <w:rFonts w:ascii="Times New Roman" w:hAnsi="Times New Roman" w:cs="Times New Roman"/>
          <w:sz w:val="28"/>
          <w:szCs w:val="28"/>
        </w:rPr>
      </w:pPr>
      <w:r>
        <w:rPr>
          <w:rFonts w:ascii="Times New Roman" w:hAnsi="Times New Roman" w:cs="Times New Roman"/>
          <w:sz w:val="28"/>
          <w:szCs w:val="28"/>
        </w:rPr>
        <w:tab/>
        <w:t>Much of the social change of the mid-20</w:t>
      </w:r>
      <w:r w:rsidRPr="00DD4454">
        <w:rPr>
          <w:rFonts w:ascii="Times New Roman" w:hAnsi="Times New Roman" w:cs="Times New Roman"/>
          <w:sz w:val="28"/>
          <w:szCs w:val="28"/>
          <w:vertAlign w:val="superscript"/>
        </w:rPr>
        <w:t>th</w:t>
      </w:r>
      <w:r>
        <w:rPr>
          <w:rFonts w:ascii="Times New Roman" w:hAnsi="Times New Roman" w:cs="Times New Roman"/>
          <w:sz w:val="28"/>
          <w:szCs w:val="28"/>
        </w:rPr>
        <w:t xml:space="preserve"> century can be traced to the incredible affluence of the United States. After 1945, with Europe and Japan in shambles, with many countries bankrupt and with the former world’s reserve currency, the British Pound being replaced by the U.S. dollar, the American economy dominated the world scene. The U.S. emerged relatively unscathed from the war, with more natural resources than anyone else—including nearly half of the world’s proven oil reserves—in addition to plenty of coal and natural gas. The U.S boasted a powerful industrial base that continued to lead the way with automobile production, and with production of emerging technologies like the television and the computer.  The average American in 1950 made more than 15 times the annual income of the average European. The United States was the place to invest, with the saying at the time being that the U.S. dollar was as good as gold. Added to this was the military might and nuclear arsenal that made many Americans feel that theirs was the greatest nation on earth.</w:t>
      </w:r>
    </w:p>
    <w:p w:rsidR="00263DFC" w:rsidRDefault="00263DFC" w:rsidP="00263DFC">
      <w:pPr>
        <w:spacing w:after="0" w:line="240" w:lineRule="auto"/>
        <w:rPr>
          <w:rFonts w:ascii="Times New Roman" w:hAnsi="Times New Roman" w:cs="Times New Roman"/>
          <w:sz w:val="28"/>
          <w:szCs w:val="28"/>
        </w:rPr>
      </w:pPr>
    </w:p>
    <w:p w:rsidR="00263DFC" w:rsidRDefault="00263DFC" w:rsidP="00263DFC">
      <w:pPr>
        <w:spacing w:after="0" w:line="240" w:lineRule="auto"/>
        <w:rPr>
          <w:rFonts w:ascii="Times New Roman" w:hAnsi="Times New Roman" w:cs="Times New Roman"/>
          <w:sz w:val="28"/>
          <w:szCs w:val="28"/>
        </w:rPr>
      </w:pPr>
      <w:r>
        <w:rPr>
          <w:rFonts w:ascii="Times New Roman" w:hAnsi="Times New Roman" w:cs="Times New Roman"/>
          <w:sz w:val="28"/>
          <w:szCs w:val="28"/>
        </w:rPr>
        <w:tab/>
        <w:t xml:space="preserve">The birthrate after 1945 exploded as soldiers returned home from war. This demographic bulge would have an enormous impact on the American economy and society for decades to come. In the near term, a housing shortage was the result of this boom, and one consequence was an explosion of new suburban building in the 1950s. Other infrastructure spending typified the 1950s under the administration of Dwight D. Eisenhower, including a new interstate highway system, but also more military bases throughout the country—even as Eisenhower would later lament the growth of the military industrial complex. Hundreds of thousands of Americans left cities for the suburbs where one could find hundreds of planned communities like Levittown that typified many aspects of this era’s demographic changes. </w:t>
      </w:r>
    </w:p>
    <w:p w:rsidR="00263DFC" w:rsidRDefault="00263DFC" w:rsidP="00263DFC">
      <w:pPr>
        <w:spacing w:after="0" w:line="240" w:lineRule="auto"/>
        <w:rPr>
          <w:rFonts w:ascii="Times New Roman" w:hAnsi="Times New Roman" w:cs="Times New Roman"/>
          <w:sz w:val="28"/>
          <w:szCs w:val="28"/>
        </w:rPr>
      </w:pPr>
    </w:p>
    <w:p w:rsidR="00263DFC" w:rsidRDefault="00263DFC" w:rsidP="00263DFC">
      <w:pPr>
        <w:spacing w:after="0" w:line="240" w:lineRule="auto"/>
        <w:rPr>
          <w:rFonts w:ascii="Times New Roman" w:hAnsi="Times New Roman" w:cs="Times New Roman"/>
          <w:sz w:val="28"/>
          <w:szCs w:val="28"/>
        </w:rPr>
      </w:pPr>
      <w:r>
        <w:rPr>
          <w:rFonts w:ascii="Times New Roman" w:hAnsi="Times New Roman" w:cs="Times New Roman"/>
          <w:sz w:val="28"/>
          <w:szCs w:val="28"/>
        </w:rPr>
        <w:tab/>
        <w:t xml:space="preserve">And yet the 1950s found the country growing increasingly anxious, even paranoid, about the future. This can partly be explained by a generation that was born during one world war, fought in a second, and was now waiting for a third world war to break out. The atomic age rightly engendered fear of nuclear annihilation, as well. There were events in foreign affairs that shook American confidence, or that otherwise fueled foreboding. One was the Russians getting the atomic bomb in 1949, along with what was called the “fall of China” to the communists the same year. By 1950, the United States would also be involved in a war to repel communism on the Korean peninsula- a war that ultimately proved </w:t>
      </w:r>
      <w:r>
        <w:rPr>
          <w:rFonts w:ascii="Times New Roman" w:hAnsi="Times New Roman" w:cs="Times New Roman"/>
          <w:sz w:val="28"/>
          <w:szCs w:val="28"/>
        </w:rPr>
        <w:lastRenderedPageBreak/>
        <w:t xml:space="preserve">unsuccessful in stopping communism’s advance through half of that peninsula.  Aversion to communism dated back to the 1910s, but subsided when Stalin’s Soviet Union was an American ally during World War II.  However, in addition to the events in China and Korea, the existence of an “iron curtain” of communist countries in Eastern Europe forming a Soviet sphere of influence to its west helped fuel a new “Cold War” between communist and non-communist countries around the globe. </w:t>
      </w:r>
    </w:p>
    <w:p w:rsidR="00263DFC" w:rsidRDefault="00263DFC" w:rsidP="00263DFC">
      <w:pPr>
        <w:spacing w:after="0" w:line="240" w:lineRule="auto"/>
        <w:rPr>
          <w:rFonts w:ascii="Times New Roman" w:hAnsi="Times New Roman" w:cs="Times New Roman"/>
          <w:sz w:val="28"/>
          <w:szCs w:val="28"/>
        </w:rPr>
      </w:pPr>
    </w:p>
    <w:p w:rsidR="00263DFC" w:rsidRDefault="00263DFC" w:rsidP="00263DFC">
      <w:pPr>
        <w:spacing w:after="0" w:line="240" w:lineRule="auto"/>
        <w:ind w:firstLine="720"/>
        <w:rPr>
          <w:rFonts w:ascii="Times New Roman" w:hAnsi="Times New Roman" w:cs="Times New Roman"/>
          <w:sz w:val="28"/>
          <w:szCs w:val="28"/>
        </w:rPr>
      </w:pPr>
      <w:r>
        <w:rPr>
          <w:rFonts w:ascii="Times New Roman" w:hAnsi="Times New Roman" w:cs="Times New Roman"/>
          <w:sz w:val="28"/>
          <w:szCs w:val="28"/>
        </w:rPr>
        <w:t xml:space="preserve">During the early 1950s, many Americans wanted extra-vigilance against what they called “domestic subversives”—a vague term that included some former communists, but many on the Left who were repulsed by anti-communist hysteria. Anti-communist hardliners found a hero in Senator Joseph McCarthy, who between 1950 and 1954 led what would later be termed a witch-hunt against supposed communists in the government, arts, and entertainment. During both the </w:t>
      </w:r>
      <w:proofErr w:type="spellStart"/>
      <w:r>
        <w:rPr>
          <w:rFonts w:ascii="Times New Roman" w:hAnsi="Times New Roman" w:cs="Times New Roman"/>
          <w:sz w:val="28"/>
          <w:szCs w:val="28"/>
        </w:rPr>
        <w:t>Tydings</w:t>
      </w:r>
      <w:proofErr w:type="spellEnd"/>
      <w:r>
        <w:rPr>
          <w:rFonts w:ascii="Times New Roman" w:hAnsi="Times New Roman" w:cs="Times New Roman"/>
          <w:sz w:val="28"/>
          <w:szCs w:val="28"/>
        </w:rPr>
        <w:t xml:space="preserve"> Committee hearings and especially during McCarthy’s investigations into a “communist infiltration” of the Army in 1954, many in the country came to see McCarthy as a conman who used the fear of communism to advance his own career by recklessly attacking patriotic elements in the military. But some anti-communist hysteria would persist in the country throughout the decade and beyond, as many Americans believed nuclear annihilation was imminent. </w:t>
      </w:r>
    </w:p>
    <w:p w:rsidR="00263DFC" w:rsidRDefault="00263DFC" w:rsidP="00263DFC">
      <w:pPr>
        <w:spacing w:after="0" w:line="240" w:lineRule="auto"/>
        <w:rPr>
          <w:rFonts w:ascii="Times New Roman" w:hAnsi="Times New Roman" w:cs="Times New Roman"/>
          <w:sz w:val="28"/>
          <w:szCs w:val="28"/>
        </w:rPr>
      </w:pPr>
    </w:p>
    <w:p w:rsidR="00263DFC" w:rsidRDefault="00263DFC" w:rsidP="00263DFC">
      <w:pPr>
        <w:spacing w:after="0" w:line="240" w:lineRule="auto"/>
        <w:rPr>
          <w:rFonts w:ascii="Times New Roman" w:hAnsi="Times New Roman" w:cs="Times New Roman"/>
          <w:sz w:val="28"/>
          <w:szCs w:val="28"/>
        </w:rPr>
      </w:pPr>
      <w:r>
        <w:rPr>
          <w:rFonts w:ascii="Times New Roman" w:hAnsi="Times New Roman" w:cs="Times New Roman"/>
          <w:sz w:val="28"/>
          <w:szCs w:val="28"/>
        </w:rPr>
        <w:tab/>
        <w:t xml:space="preserve">Under the Presidency of Dwight Eisenhower (1953-1961), and his Secretary of State John Foster Dulles, the idea of massive retaliation against any communist aggression gained footing, with an emphasis on airpower and nuclear weapons to deter the Soviets. Dulles also felt that supposedly non-aligned or “neutral” countries should be pressured to pick sides in the new Cold War between capitalism and communism—particularly in Egypt, Guatemala, Iran, and India. Going forward this interest in what would come to be known as the “third world” would underpin the United States’ involvement in Vietnam, as well as the embargo on Cuba, once that island embraced the communist government of Fidel Castro. </w:t>
      </w:r>
    </w:p>
    <w:p w:rsidR="00263DFC" w:rsidRDefault="00263DFC" w:rsidP="00263DFC">
      <w:pPr>
        <w:spacing w:after="0" w:line="240" w:lineRule="auto"/>
        <w:rPr>
          <w:rFonts w:ascii="Times New Roman" w:hAnsi="Times New Roman" w:cs="Times New Roman"/>
          <w:sz w:val="28"/>
          <w:szCs w:val="28"/>
        </w:rPr>
      </w:pPr>
    </w:p>
    <w:p w:rsidR="00263DFC" w:rsidRDefault="00263DFC" w:rsidP="00263DFC">
      <w:pPr>
        <w:spacing w:after="0" w:line="240" w:lineRule="auto"/>
        <w:rPr>
          <w:rFonts w:ascii="Times New Roman" w:hAnsi="Times New Roman" w:cs="Times New Roman"/>
          <w:sz w:val="28"/>
          <w:szCs w:val="28"/>
        </w:rPr>
      </w:pPr>
      <w:r>
        <w:rPr>
          <w:rFonts w:ascii="Times New Roman" w:hAnsi="Times New Roman" w:cs="Times New Roman"/>
          <w:sz w:val="28"/>
          <w:szCs w:val="28"/>
        </w:rPr>
        <w:tab/>
      </w:r>
    </w:p>
    <w:p w:rsidR="00263DFC" w:rsidRDefault="00263DFC" w:rsidP="00263DFC">
      <w:pPr>
        <w:spacing w:after="0" w:line="240" w:lineRule="auto"/>
        <w:rPr>
          <w:rFonts w:ascii="Times New Roman" w:hAnsi="Times New Roman" w:cs="Times New Roman"/>
          <w:sz w:val="28"/>
          <w:szCs w:val="28"/>
        </w:rPr>
      </w:pPr>
      <w:r>
        <w:rPr>
          <w:rFonts w:ascii="Times New Roman" w:hAnsi="Times New Roman" w:cs="Times New Roman"/>
          <w:sz w:val="28"/>
          <w:szCs w:val="28"/>
        </w:rPr>
        <w:tab/>
      </w:r>
    </w:p>
    <w:p w:rsidR="00263DFC" w:rsidRDefault="00263DFC" w:rsidP="00263DFC">
      <w:pPr>
        <w:spacing w:after="0" w:line="240" w:lineRule="auto"/>
        <w:rPr>
          <w:rFonts w:ascii="Times New Roman" w:hAnsi="Times New Roman" w:cs="Times New Roman"/>
          <w:sz w:val="28"/>
          <w:szCs w:val="28"/>
        </w:rPr>
      </w:pPr>
    </w:p>
    <w:p w:rsidR="00263DFC" w:rsidRDefault="00263DFC" w:rsidP="00263DFC">
      <w:pPr>
        <w:spacing w:after="0" w:line="240" w:lineRule="auto"/>
        <w:rPr>
          <w:rFonts w:ascii="Times New Roman" w:hAnsi="Times New Roman" w:cs="Times New Roman"/>
          <w:sz w:val="28"/>
          <w:szCs w:val="28"/>
        </w:rPr>
      </w:pPr>
    </w:p>
    <w:p w:rsidR="00263DFC" w:rsidRDefault="00263DFC" w:rsidP="00263DFC">
      <w:pPr>
        <w:spacing w:after="0" w:line="240" w:lineRule="auto"/>
        <w:rPr>
          <w:rFonts w:ascii="Times New Roman" w:hAnsi="Times New Roman" w:cs="Times New Roman"/>
          <w:sz w:val="28"/>
          <w:szCs w:val="28"/>
        </w:rPr>
      </w:pPr>
    </w:p>
    <w:p w:rsidR="00263DFC" w:rsidRDefault="00263DFC" w:rsidP="00263DFC">
      <w:pPr>
        <w:spacing w:after="0" w:line="240" w:lineRule="auto"/>
        <w:rPr>
          <w:rFonts w:ascii="Times New Roman" w:hAnsi="Times New Roman" w:cs="Times New Roman"/>
          <w:sz w:val="28"/>
          <w:szCs w:val="28"/>
        </w:rPr>
      </w:pPr>
    </w:p>
    <w:p w:rsidR="00917476" w:rsidRDefault="00917476"/>
    <w:sectPr w:rsidR="009174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DFC"/>
    <w:rsid w:val="00263DFC"/>
    <w:rsid w:val="00917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D328BB-5F0F-4BC1-9545-C5855D949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3DF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1152</Words>
  <Characters>6570</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7707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Jordan</dc:creator>
  <cp:keywords/>
  <dc:description/>
  <cp:lastModifiedBy>Ryan Jordan</cp:lastModifiedBy>
  <cp:revision>1</cp:revision>
  <dcterms:created xsi:type="dcterms:W3CDTF">2019-01-07T19:51:00Z</dcterms:created>
  <dcterms:modified xsi:type="dcterms:W3CDTF">2019-01-07T19:55:00Z</dcterms:modified>
</cp:coreProperties>
</file>